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64" w:rsidRDefault="000A4C64" w:rsidP="000A4C64">
      <w:pPr>
        <w:widowControl/>
        <w:shd w:val="clear" w:color="auto" w:fill="FFFFFF"/>
        <w:spacing w:line="432" w:lineRule="atLeast"/>
        <w:jc w:val="left"/>
        <w:rPr>
          <w:rFonts w:ascii="宋体" w:eastAsia="宋体" w:hAnsi="宋体" w:cs="宋体" w:hint="eastAsia"/>
          <w:b/>
          <w:bCs/>
          <w:noProof w:val="0"/>
          <w:color w:val="333333"/>
          <w:kern w:val="0"/>
          <w:sz w:val="36"/>
          <w:szCs w:val="36"/>
        </w:rPr>
      </w:pPr>
      <w:r>
        <w:rPr>
          <w:rFonts w:hint="eastAsia"/>
          <w:b/>
          <w:bCs/>
          <w:color w:val="333333"/>
          <w:shd w:val="clear" w:color="auto" w:fill="FFFFFF"/>
        </w:rPr>
        <w:t>附件</w:t>
      </w:r>
      <w:r>
        <w:rPr>
          <w:rFonts w:hint="eastAsia"/>
          <w:b/>
          <w:bCs/>
          <w:color w:val="333333"/>
          <w:shd w:val="clear" w:color="auto" w:fill="FFFFFF"/>
        </w:rPr>
        <w:t>1</w:t>
      </w:r>
    </w:p>
    <w:p w:rsidR="000A4C64" w:rsidRPr="000A4C64" w:rsidRDefault="000A4C64" w:rsidP="000A4C64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/>
          <w:noProof w:val="0"/>
          <w:color w:val="333333"/>
          <w:kern w:val="0"/>
          <w:sz w:val="24"/>
          <w:szCs w:val="24"/>
        </w:rPr>
      </w:pPr>
      <w:r w:rsidRPr="000A4C64">
        <w:rPr>
          <w:rFonts w:ascii="宋体" w:eastAsia="宋体" w:hAnsi="宋体" w:cs="宋体" w:hint="eastAsia"/>
          <w:b/>
          <w:bCs/>
          <w:noProof w:val="0"/>
          <w:color w:val="333333"/>
          <w:kern w:val="0"/>
          <w:sz w:val="36"/>
          <w:szCs w:val="36"/>
        </w:rPr>
        <w:t>2017年第一季度网站监管工作</w:t>
      </w:r>
    </w:p>
    <w:p w:rsidR="000A4C64" w:rsidRPr="000A4C64" w:rsidRDefault="000A4C64" w:rsidP="000A4C64">
      <w:pPr>
        <w:widowControl/>
        <w:shd w:val="clear" w:color="auto" w:fill="FFFFFF"/>
        <w:spacing w:after="240" w:line="432" w:lineRule="atLeast"/>
        <w:jc w:val="center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  <w:r w:rsidRPr="000A4C64">
        <w:rPr>
          <w:rFonts w:ascii="宋体" w:eastAsia="宋体" w:hAnsi="宋体" w:cs="宋体" w:hint="eastAsia"/>
          <w:b/>
          <w:bCs/>
          <w:noProof w:val="0"/>
          <w:color w:val="333333"/>
          <w:kern w:val="0"/>
          <w:sz w:val="36"/>
          <w:szCs w:val="36"/>
        </w:rPr>
        <w:t>成效明显的地区和部门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46"/>
        <w:gridCol w:w="2552"/>
        <w:gridCol w:w="3924"/>
      </w:tblGrid>
      <w:tr w:rsidR="000A4C64" w:rsidRPr="000A4C64" w:rsidTr="000A4C64">
        <w:trPr>
          <w:jc w:val="center"/>
        </w:trPr>
        <w:tc>
          <w:tcPr>
            <w:tcW w:w="4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4" w:rsidRPr="000A4C64" w:rsidRDefault="000A4C64" w:rsidP="000A4C64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A4C64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 w:val="20"/>
                <w:szCs w:val="20"/>
              </w:rPr>
              <w:t>工</w:t>
            </w:r>
            <w:r w:rsidRPr="000A4C64">
              <w:rPr>
                <w:rFonts w:ascii="Calibri" w:eastAsia="宋体" w:hAnsi="Calibri" w:cs="Calibri"/>
                <w:b/>
                <w:bCs/>
                <w:noProof w:val="0"/>
                <w:kern w:val="0"/>
                <w:sz w:val="20"/>
              </w:rPr>
              <w:t> </w:t>
            </w:r>
            <w:r w:rsidRPr="000A4C64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 w:val="20"/>
                <w:szCs w:val="20"/>
              </w:rPr>
              <w:t>作</w:t>
            </w:r>
            <w:r w:rsidRPr="000A4C64">
              <w:rPr>
                <w:rFonts w:ascii="Calibri" w:eastAsia="宋体" w:hAnsi="Calibri" w:cs="Calibri"/>
                <w:b/>
                <w:bCs/>
                <w:noProof w:val="0"/>
                <w:kern w:val="0"/>
                <w:sz w:val="20"/>
              </w:rPr>
              <w:t> </w:t>
            </w:r>
            <w:r w:rsidRPr="000A4C64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 w:val="20"/>
                <w:szCs w:val="20"/>
              </w:rPr>
              <w:t>成</w:t>
            </w:r>
            <w:r w:rsidRPr="000A4C64">
              <w:rPr>
                <w:rFonts w:ascii="Calibri" w:eastAsia="宋体" w:hAnsi="Calibri" w:cs="Calibri"/>
                <w:b/>
                <w:bCs/>
                <w:noProof w:val="0"/>
                <w:kern w:val="0"/>
                <w:sz w:val="20"/>
              </w:rPr>
              <w:t> </w:t>
            </w:r>
            <w:r w:rsidRPr="000A4C64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 w:val="20"/>
                <w:szCs w:val="20"/>
              </w:rPr>
              <w:t>效</w:t>
            </w:r>
          </w:p>
        </w:tc>
        <w:tc>
          <w:tcPr>
            <w:tcW w:w="3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4" w:rsidRPr="000A4C64" w:rsidRDefault="000A4C64" w:rsidP="000A4C64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A4C64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 w:val="20"/>
                <w:szCs w:val="20"/>
              </w:rPr>
              <w:t>省（区、市）</w:t>
            </w:r>
            <w:r w:rsidRPr="000A4C64">
              <w:rPr>
                <w:rFonts w:ascii="Calibri" w:eastAsia="宋体" w:hAnsi="Calibri" w:cs="Calibri"/>
                <w:b/>
                <w:bCs/>
                <w:noProof w:val="0"/>
                <w:kern w:val="0"/>
                <w:sz w:val="20"/>
                <w:szCs w:val="20"/>
              </w:rPr>
              <w:t>/</w:t>
            </w:r>
            <w:r w:rsidRPr="000A4C64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 w:val="20"/>
                <w:szCs w:val="20"/>
              </w:rPr>
              <w:t>部门</w:t>
            </w:r>
          </w:p>
        </w:tc>
      </w:tr>
      <w:tr w:rsidR="000A4C64" w:rsidRPr="000A4C64" w:rsidTr="000A4C64">
        <w:trPr>
          <w:jc w:val="center"/>
        </w:trPr>
        <w:tc>
          <w:tcPr>
            <w:tcW w:w="20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4" w:rsidRPr="000A4C64" w:rsidRDefault="000A4C64" w:rsidP="000A4C64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A4C64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第一季度总体抽</w:t>
            </w:r>
          </w:p>
          <w:p w:rsidR="000A4C64" w:rsidRPr="000A4C64" w:rsidRDefault="000A4C64" w:rsidP="000A4C64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A4C64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查合格率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4" w:rsidRPr="000A4C64" w:rsidRDefault="000A4C64" w:rsidP="000A4C64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A4C64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达到</w:t>
            </w:r>
            <w:r w:rsidRPr="000A4C64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4" w:rsidRPr="000A4C64" w:rsidRDefault="000A4C64" w:rsidP="000A4C64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A4C64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北京、天津、辽宁、上海、安徽、山东、海南、重庆、甘肃、青海、新疆生产建设兵团</w:t>
            </w:r>
          </w:p>
        </w:tc>
      </w:tr>
      <w:tr w:rsidR="000A4C64" w:rsidRPr="000A4C64" w:rsidTr="000A4C6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C64" w:rsidRPr="000A4C64" w:rsidRDefault="000A4C64" w:rsidP="000A4C64">
            <w:pPr>
              <w:widowControl/>
              <w:jc w:val="left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4" w:rsidRPr="000A4C64" w:rsidRDefault="000A4C64" w:rsidP="000A4C64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A4C64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超过</w:t>
            </w:r>
            <w:r w:rsidRPr="000A4C64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90%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4" w:rsidRPr="000A4C64" w:rsidRDefault="000A4C64" w:rsidP="000A4C64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A4C64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广东、江苏、湖北、湖南、江西、云南、陕西、河北、贵州</w:t>
            </w:r>
          </w:p>
        </w:tc>
      </w:tr>
      <w:tr w:rsidR="000A4C64" w:rsidRPr="000A4C64" w:rsidTr="000A4C64">
        <w:trPr>
          <w:jc w:val="center"/>
        </w:trPr>
        <w:tc>
          <w:tcPr>
            <w:tcW w:w="20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4" w:rsidRPr="000A4C64" w:rsidRDefault="000A4C64" w:rsidP="000A4C64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A4C64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第一季度上报抽查网站比例（注：各地区、垂直管理部门）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4" w:rsidRPr="000A4C64" w:rsidRDefault="000A4C64" w:rsidP="000A4C64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A4C64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超过运行网站总数</w:t>
            </w:r>
            <w:r w:rsidRPr="000A4C64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50%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4" w:rsidRPr="000A4C64" w:rsidRDefault="000A4C64" w:rsidP="000A4C64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A4C64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北京、海南、西藏、烟草局</w:t>
            </w:r>
          </w:p>
        </w:tc>
      </w:tr>
      <w:tr w:rsidR="000A4C64" w:rsidRPr="000A4C64" w:rsidTr="000A4C6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C64" w:rsidRPr="000A4C64" w:rsidRDefault="000A4C64" w:rsidP="000A4C64">
            <w:pPr>
              <w:widowControl/>
              <w:jc w:val="left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4" w:rsidRPr="000A4C64" w:rsidRDefault="000A4C64" w:rsidP="000A4C64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A4C64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超过运行网站总数</w:t>
            </w:r>
            <w:r w:rsidRPr="000A4C64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20%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4" w:rsidRPr="000A4C64" w:rsidRDefault="000A4C64" w:rsidP="000A4C64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A4C64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浙江、山东、广西、四川、云南、宁夏、新疆生产建设兵团、质检总局</w:t>
            </w:r>
          </w:p>
        </w:tc>
      </w:tr>
      <w:tr w:rsidR="000A4C64" w:rsidRPr="000A4C64" w:rsidTr="000A4C64">
        <w:trPr>
          <w:jc w:val="center"/>
        </w:trPr>
        <w:tc>
          <w:tcPr>
            <w:tcW w:w="20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4" w:rsidRPr="000A4C64" w:rsidRDefault="000A4C64" w:rsidP="000A4C64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A4C64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本地区县级以上地方政府门户网站转载国务院重要信息情况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4" w:rsidRPr="000A4C64" w:rsidRDefault="000A4C64" w:rsidP="000A4C64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A4C64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在首页开设有关专栏的网站比例达</w:t>
            </w:r>
            <w:r w:rsidRPr="000A4C64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4" w:rsidRPr="000A4C64" w:rsidRDefault="000A4C64" w:rsidP="000A4C64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A4C64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北京、天津、上海、安徽、湖北、湖南、海南、宁夏、新疆生产建设兵团</w:t>
            </w:r>
          </w:p>
        </w:tc>
      </w:tr>
      <w:tr w:rsidR="000A4C64" w:rsidRPr="000A4C64" w:rsidTr="000A4C6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C64" w:rsidRPr="000A4C64" w:rsidRDefault="000A4C64" w:rsidP="000A4C64">
            <w:pPr>
              <w:widowControl/>
              <w:jc w:val="left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4" w:rsidRPr="000A4C64" w:rsidRDefault="000A4C64" w:rsidP="000A4C64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A4C64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24</w:t>
            </w:r>
            <w:r w:rsidRPr="000A4C64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小时内进行转载的网站比例超过</w:t>
            </w:r>
            <w:r w:rsidRPr="000A4C64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90%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4" w:rsidRPr="000A4C64" w:rsidRDefault="000A4C64" w:rsidP="000A4C64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A4C64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北京、天津、河北、吉林、江苏、浙江、安徽、湖北、湖南、西藏、陕西、青海、新疆生产建设兵团</w:t>
            </w:r>
          </w:p>
        </w:tc>
      </w:tr>
      <w:tr w:rsidR="000A4C64" w:rsidRPr="000A4C64" w:rsidTr="000A4C64">
        <w:trPr>
          <w:jc w:val="center"/>
        </w:trPr>
        <w:tc>
          <w:tcPr>
            <w:tcW w:w="4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4" w:rsidRPr="000A4C64" w:rsidRDefault="000A4C64" w:rsidP="000A4C64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A4C64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“我为政府网站找错”网民留言按期办结率达</w:t>
            </w:r>
            <w:r w:rsidRPr="000A4C64">
              <w:rPr>
                <w:rFonts w:ascii="Calibri" w:eastAsia="宋体" w:hAnsi="Calibri" w:cs="Calibri"/>
                <w:noProof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64" w:rsidRPr="000A4C64" w:rsidRDefault="000A4C64" w:rsidP="000A4C64">
            <w:pPr>
              <w:widowControl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A4C64">
              <w:rPr>
                <w:rFonts w:ascii="宋体" w:eastAsia="宋体" w:hAnsi="宋体" w:cs="Calibri" w:hint="eastAsia"/>
                <w:noProof w:val="0"/>
                <w:kern w:val="0"/>
                <w:sz w:val="20"/>
                <w:szCs w:val="20"/>
              </w:rPr>
              <w:t>内蒙古、上海、江苏、福建、江西、新疆生产建设兵团、发展改革委、国家民委、人力资源社会保障部、水利部、侨办、中科院、工程院、发展研究中心、地震局、银监会、社保基金会、自然科学基金会、信访局、烟草局、测绘地信局、文物局、外汇局</w:t>
            </w:r>
          </w:p>
        </w:tc>
      </w:tr>
    </w:tbl>
    <w:p w:rsidR="00326BC1" w:rsidRPr="000A4C64" w:rsidRDefault="00326BC1">
      <w:pPr>
        <w:rPr>
          <w:rFonts w:hint="eastAsia"/>
        </w:rPr>
      </w:pPr>
    </w:p>
    <w:sectPr w:rsidR="00326BC1" w:rsidRPr="000A4C64" w:rsidSect="00123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4C64"/>
    <w:rsid w:val="000A4C64"/>
    <w:rsid w:val="0012365E"/>
    <w:rsid w:val="00326BC1"/>
    <w:rsid w:val="008C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E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C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A4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2017-05-25T01:53:00Z</dcterms:created>
  <dcterms:modified xsi:type="dcterms:W3CDTF">2017-05-25T01:54:00Z</dcterms:modified>
</cp:coreProperties>
</file>