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lang w:eastAsia="zh-CN"/>
        </w:rPr>
        <w:t>附件</w:t>
      </w:r>
    </w:p>
    <w:p>
      <w:pPr>
        <w:spacing w:line="220" w:lineRule="atLeast"/>
        <w:jc w:val="center"/>
        <w:rPr>
          <w:rFonts w:hint="default" w:ascii="Times New Roman" w:hAnsi="Times New Roman" w:cs="Times New Roman" w:eastAsiaTheme="majorEastAsia"/>
          <w:b/>
          <w:color w:val="auto"/>
          <w:sz w:val="28"/>
        </w:rPr>
      </w:pPr>
      <w:r>
        <w:rPr>
          <w:rFonts w:hint="default" w:ascii="Times New Roman" w:hAnsi="Times New Roman" w:cs="Times New Roman" w:eastAsiaTheme="majorEastAsia"/>
          <w:b/>
          <w:color w:val="auto"/>
          <w:sz w:val="28"/>
        </w:rPr>
        <w:t>中外合作办学机构信息</w:t>
      </w:r>
      <w:r>
        <w:rPr>
          <w:rFonts w:hint="default" w:ascii="Times New Roman" w:hAnsi="Times New Roman" w:cs="Times New Roman" w:eastAsiaTheme="majorEastAsia"/>
          <w:b/>
          <w:color w:val="auto"/>
          <w:sz w:val="28"/>
          <w:highlight w:val="none"/>
        </w:rPr>
        <w:t>表（</w:t>
      </w:r>
      <w:r>
        <w:rPr>
          <w:rFonts w:hint="default" w:ascii="Times New Roman" w:hAnsi="Times New Roman" w:cs="Times New Roman" w:eastAsiaTheme="majorEastAsia"/>
          <w:b/>
          <w:color w:val="auto"/>
          <w:sz w:val="28"/>
          <w:highlight w:val="none"/>
          <w:lang w:val="en-US" w:eastAsia="zh-CN"/>
        </w:rPr>
        <w:t>1976N</w:t>
      </w:r>
      <w:r>
        <w:rPr>
          <w:rFonts w:hint="default" w:ascii="Times New Roman" w:hAnsi="Times New Roman" w:cs="Times New Roman" w:eastAsiaTheme="majorEastAsia"/>
          <w:b/>
          <w:color w:val="auto"/>
          <w:sz w:val="28"/>
          <w:highlight w:val="none"/>
        </w:rPr>
        <w:t>）</w:t>
      </w:r>
    </w:p>
    <w:tbl>
      <w:tblPr>
        <w:tblStyle w:val="6"/>
        <w:tblW w:w="15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212"/>
        <w:gridCol w:w="2713"/>
        <w:gridCol w:w="4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621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齐鲁工业大学基辅学院</w:t>
            </w:r>
          </w:p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（英文：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eastAsia="zh-TW"/>
              </w:rPr>
              <w:t>Kyiv College at Qilu University of Technology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 xml:space="preserve"> ）</w:t>
            </w:r>
          </w:p>
        </w:tc>
        <w:tc>
          <w:tcPr>
            <w:tcW w:w="271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机构属性</w:t>
            </w:r>
          </w:p>
        </w:tc>
        <w:tc>
          <w:tcPr>
            <w:tcW w:w="47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不具有法人资格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机构住所</w:t>
            </w:r>
          </w:p>
        </w:tc>
        <w:tc>
          <w:tcPr>
            <w:tcW w:w="621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山东省济南市长清区大学路3501号</w:t>
            </w:r>
          </w:p>
        </w:tc>
        <w:tc>
          <w:tcPr>
            <w:tcW w:w="271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47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陈嘉川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中外合作办学者</w:t>
            </w:r>
          </w:p>
        </w:tc>
        <w:tc>
          <w:tcPr>
            <w:tcW w:w="621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中方：齐鲁工业大学</w:t>
            </w:r>
          </w:p>
        </w:tc>
        <w:tc>
          <w:tcPr>
            <w:tcW w:w="271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校长或主要行政负责人</w:t>
            </w:r>
          </w:p>
        </w:tc>
        <w:tc>
          <w:tcPr>
            <w:tcW w:w="47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刘玉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621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外方：Kyiv National University of Technologies and Design, Ukraine（乌克兰基辅国立工艺设计大学）</w:t>
            </w:r>
          </w:p>
        </w:tc>
        <w:tc>
          <w:tcPr>
            <w:tcW w:w="271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合作办学者是否要求取得合理回报</w:t>
            </w:r>
          </w:p>
        </w:tc>
        <w:tc>
          <w:tcPr>
            <w:tcW w:w="47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办学层次和类别</w:t>
            </w:r>
          </w:p>
        </w:tc>
        <w:tc>
          <w:tcPr>
            <w:tcW w:w="6212" w:type="dxa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本科学历教育；外国硕士学位教育</w:t>
            </w:r>
          </w:p>
        </w:tc>
        <w:tc>
          <w:tcPr>
            <w:tcW w:w="271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学制</w:t>
            </w:r>
          </w:p>
        </w:tc>
        <w:tc>
          <w:tcPr>
            <w:tcW w:w="47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本科生4年，硕士研究生2年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办学规模</w:t>
            </w:r>
          </w:p>
        </w:tc>
        <w:tc>
          <w:tcPr>
            <w:tcW w:w="6212" w:type="dxa"/>
            <w:vAlign w:val="center"/>
          </w:tcPr>
          <w:p>
            <w:pPr>
              <w:spacing w:after="0" w:line="220" w:lineRule="atLeast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办学总规模为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en-US" w:eastAsia="zh-CN"/>
              </w:rPr>
              <w:t>1040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人（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每专业每年招收80人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，共计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val="en-US" w:eastAsia="zh-CN"/>
              </w:rPr>
              <w:t>240人，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在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eastAsia="zh-CN"/>
              </w:rPr>
              <w:t>齐鲁工业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大学招生计划内统筹安排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硕士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研究生每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eastAsia="zh-CN"/>
              </w:rPr>
              <w:t>年招收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0人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eastAsia="zh-CN"/>
              </w:rPr>
              <w:t>为自主招生。</w:t>
            </w:r>
          </w:p>
        </w:tc>
        <w:tc>
          <w:tcPr>
            <w:tcW w:w="2713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招生起止年份</w:t>
            </w:r>
          </w:p>
        </w:tc>
        <w:tc>
          <w:tcPr>
            <w:tcW w:w="470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本科生2019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2035年（每年1期）</w:t>
            </w:r>
          </w:p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外国硕士学位教育2019</w:t>
            </w: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Cs w:val="24"/>
                <w:highlight w:val="none"/>
              </w:rPr>
              <w:t>03</w:t>
            </w:r>
            <w:r>
              <w:rPr>
                <w:rFonts w:hint="default" w:ascii="Times New Roman" w:hAnsi="Times New Roman" w:cs="Times New Roman" w:eastAsiaTheme="minorEastAsia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年（每年1期）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招生方式</w:t>
            </w:r>
          </w:p>
        </w:tc>
        <w:tc>
          <w:tcPr>
            <w:tcW w:w="13630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本科生：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  <w:lang w:eastAsia="zh-CN"/>
              </w:rPr>
              <w:t>纳入国家普通高等学校招生计划，并按照国家普通高校招生录取政策规定执行。</w:t>
            </w:r>
          </w:p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外国硕士学位教育：自主招生（招生标准不低于基辅国立工艺设计大学同类专业在乌克兰的标准）。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开设专业或课程</w:t>
            </w:r>
          </w:p>
        </w:tc>
        <w:tc>
          <w:tcPr>
            <w:tcW w:w="13630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  <w:lang w:val="zh-TW" w:eastAsia="zh-TW"/>
              </w:rPr>
              <w:t>本科：轻化工程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zh-TW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081701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zh-TW"/>
              </w:rPr>
              <w:t>）、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zh-TW" w:eastAsia="zh-TW"/>
              </w:rPr>
              <w:t>生物技术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zh-TW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zh-TW" w:eastAsia="zh-TW"/>
              </w:rPr>
              <w:t>071002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zh-TW"/>
              </w:rPr>
              <w:t>）、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zh-TW" w:eastAsia="zh-TW"/>
              </w:rPr>
              <w:t>视觉传达设计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zh-TW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zh-TW" w:eastAsia="zh-TW"/>
              </w:rPr>
              <w:t>130502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zh-TW"/>
              </w:rPr>
              <w:t>）</w:t>
            </w:r>
          </w:p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  <w:lang w:val="zh-TW" w:eastAsia="zh-TW"/>
              </w:rPr>
              <w:t>硕士：制药工程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颁发证书</w:t>
            </w:r>
          </w:p>
        </w:tc>
        <w:tc>
          <w:tcPr>
            <w:tcW w:w="13630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中方：齐鲁工业大学本科毕业证书、学士学位证书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3630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4"/>
              </w:rPr>
              <w:t>外方：</w:t>
            </w:r>
          </w:p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  <w:lang w:eastAsia="zh-CN"/>
              </w:rPr>
              <w:t>本科：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ступінь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вищої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освіти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бакалавр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спеціальність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Біотехнології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та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біоінженерія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»,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освітня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програма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Біоехнологія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» 生物技术学士学位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eastAsia="zh-CN"/>
              </w:rPr>
              <w:t>证书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ступінь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вищої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освіти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бакалавр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,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спеціальність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Дизайн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»,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освітня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програма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Дизайн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за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видами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)»设计学学士学位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eastAsia="zh-CN"/>
              </w:rPr>
              <w:t>证书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ступінь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вищої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освіти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ru-RU"/>
              </w:rPr>
              <w:t>бакалавр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, спеціальність «Хімічні технології та інженерія», освітня програма «Технологія та експертиза шкіри і хутра» 皮革与毛皮技术与检测学士学位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eastAsia="zh-CN"/>
              </w:rPr>
              <w:t>证书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；</w:t>
            </w:r>
          </w:p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4"/>
                <w:lang w:val="uk-UA" w:eastAsia="zh-CN"/>
              </w:rPr>
              <w:t>硕士：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val="uk-UA"/>
              </w:rPr>
              <w:t>ступінь вищої освіти магістр, спеціальність «Фармація, промислова фармація», освітня програма «Промислова фармація»</w:t>
            </w:r>
            <w:r>
              <w:rPr>
                <w:rFonts w:hint="default" w:ascii="Times New Roman" w:hAnsi="Times New Roman" w:cs="Times New Roman" w:eastAsiaTheme="minorEastAsia"/>
                <w:szCs w:val="24"/>
              </w:rPr>
              <w:t>工业制药硕士学位</w:t>
            </w:r>
            <w:r>
              <w:rPr>
                <w:rFonts w:hint="default" w:ascii="Times New Roman" w:hAnsi="Times New Roman" w:cs="Times New Roman" w:eastAsiaTheme="minorEastAsia"/>
                <w:szCs w:val="24"/>
                <w:lang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审批机关</w:t>
            </w:r>
          </w:p>
        </w:tc>
        <w:tc>
          <w:tcPr>
            <w:tcW w:w="13630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许可证编号</w:t>
            </w:r>
          </w:p>
        </w:tc>
        <w:tc>
          <w:tcPr>
            <w:tcW w:w="13630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MOE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37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U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A02DNR201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19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76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auto"/>
                <w:sz w:val="24"/>
                <w:szCs w:val="24"/>
              </w:rPr>
              <w:t>许可证有效期</w:t>
            </w:r>
          </w:p>
        </w:tc>
        <w:tc>
          <w:tcPr>
            <w:tcW w:w="13630" w:type="dxa"/>
            <w:gridSpan w:val="3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  <w:lang w:val="en-US" w:eastAsia="zh-CN"/>
              </w:rPr>
              <w:t>39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4"/>
              </w:rPr>
              <w:t>年12月31日</w:t>
            </w:r>
          </w:p>
        </w:tc>
      </w:tr>
    </w:tbl>
    <w:p>
      <w:pPr>
        <w:spacing w:line="220" w:lineRule="atLeast"/>
        <w:jc w:val="right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t>制表时间：201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t>年</w:t>
      </w:r>
      <w: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  <w:t>月</w:t>
      </w:r>
    </w:p>
    <w:sectPr>
      <w:pgSz w:w="16838" w:h="11906" w:orient="landscape"/>
      <w:pgMar w:top="1440" w:right="1080" w:bottom="965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00A4"/>
    <w:rsid w:val="0004707D"/>
    <w:rsid w:val="0005624A"/>
    <w:rsid w:val="00057757"/>
    <w:rsid w:val="000C4AD8"/>
    <w:rsid w:val="0014516C"/>
    <w:rsid w:val="00174CAF"/>
    <w:rsid w:val="00174EE6"/>
    <w:rsid w:val="001E11BF"/>
    <w:rsid w:val="002918E3"/>
    <w:rsid w:val="002F3E50"/>
    <w:rsid w:val="00323B43"/>
    <w:rsid w:val="00332F87"/>
    <w:rsid w:val="003D37D8"/>
    <w:rsid w:val="00426133"/>
    <w:rsid w:val="004358AB"/>
    <w:rsid w:val="004D2402"/>
    <w:rsid w:val="004F426D"/>
    <w:rsid w:val="00521641"/>
    <w:rsid w:val="00541623"/>
    <w:rsid w:val="0056175D"/>
    <w:rsid w:val="007C79AF"/>
    <w:rsid w:val="00804C8C"/>
    <w:rsid w:val="00822231"/>
    <w:rsid w:val="008B7726"/>
    <w:rsid w:val="008C34BF"/>
    <w:rsid w:val="008D4CAB"/>
    <w:rsid w:val="00955149"/>
    <w:rsid w:val="00975494"/>
    <w:rsid w:val="00991D67"/>
    <w:rsid w:val="009A315C"/>
    <w:rsid w:val="009C2E3C"/>
    <w:rsid w:val="00A118B9"/>
    <w:rsid w:val="00A67F8F"/>
    <w:rsid w:val="00A95C73"/>
    <w:rsid w:val="00AC3F59"/>
    <w:rsid w:val="00AC432B"/>
    <w:rsid w:val="00B45C69"/>
    <w:rsid w:val="00B5526C"/>
    <w:rsid w:val="00B940BF"/>
    <w:rsid w:val="00BC6DDE"/>
    <w:rsid w:val="00CA744A"/>
    <w:rsid w:val="00CE195B"/>
    <w:rsid w:val="00CE4C71"/>
    <w:rsid w:val="00D31D50"/>
    <w:rsid w:val="00DD17C1"/>
    <w:rsid w:val="00E21F0E"/>
    <w:rsid w:val="00E944F0"/>
    <w:rsid w:val="00EB450B"/>
    <w:rsid w:val="00F8010F"/>
    <w:rsid w:val="00F91490"/>
    <w:rsid w:val="014C2E4B"/>
    <w:rsid w:val="01AC53FD"/>
    <w:rsid w:val="023B320A"/>
    <w:rsid w:val="026F120D"/>
    <w:rsid w:val="045A68FD"/>
    <w:rsid w:val="05AF7010"/>
    <w:rsid w:val="06522762"/>
    <w:rsid w:val="077759D9"/>
    <w:rsid w:val="094A0B1D"/>
    <w:rsid w:val="0AC95106"/>
    <w:rsid w:val="0D58546A"/>
    <w:rsid w:val="0E460948"/>
    <w:rsid w:val="0E9F4225"/>
    <w:rsid w:val="0FB24BC5"/>
    <w:rsid w:val="10543B2F"/>
    <w:rsid w:val="11AA3B11"/>
    <w:rsid w:val="136E0610"/>
    <w:rsid w:val="14FC15E8"/>
    <w:rsid w:val="153D3C61"/>
    <w:rsid w:val="15A87F2B"/>
    <w:rsid w:val="15BD5D39"/>
    <w:rsid w:val="16583488"/>
    <w:rsid w:val="167051F8"/>
    <w:rsid w:val="170C1ED3"/>
    <w:rsid w:val="18C91312"/>
    <w:rsid w:val="19EB7056"/>
    <w:rsid w:val="1C4869AC"/>
    <w:rsid w:val="1D020AE2"/>
    <w:rsid w:val="1D2234B6"/>
    <w:rsid w:val="1D420F5C"/>
    <w:rsid w:val="1DF00836"/>
    <w:rsid w:val="1FAB39BB"/>
    <w:rsid w:val="1FFA44F7"/>
    <w:rsid w:val="201A1512"/>
    <w:rsid w:val="21217250"/>
    <w:rsid w:val="2160502E"/>
    <w:rsid w:val="23DA2DDE"/>
    <w:rsid w:val="255F166B"/>
    <w:rsid w:val="25DD62EF"/>
    <w:rsid w:val="27BD4D0A"/>
    <w:rsid w:val="287D3597"/>
    <w:rsid w:val="29090031"/>
    <w:rsid w:val="2A294965"/>
    <w:rsid w:val="2A2F58BC"/>
    <w:rsid w:val="2BB54F68"/>
    <w:rsid w:val="2BE21C16"/>
    <w:rsid w:val="2F245760"/>
    <w:rsid w:val="30807318"/>
    <w:rsid w:val="31481E92"/>
    <w:rsid w:val="31BA4846"/>
    <w:rsid w:val="32CE241A"/>
    <w:rsid w:val="32E05674"/>
    <w:rsid w:val="33094F38"/>
    <w:rsid w:val="3A5634B5"/>
    <w:rsid w:val="3AC04458"/>
    <w:rsid w:val="3ACA7D10"/>
    <w:rsid w:val="3C194FD5"/>
    <w:rsid w:val="3C353EB1"/>
    <w:rsid w:val="3CB265A3"/>
    <w:rsid w:val="3DF60C1A"/>
    <w:rsid w:val="3E1A357D"/>
    <w:rsid w:val="3F0C6B60"/>
    <w:rsid w:val="4049737C"/>
    <w:rsid w:val="414C61D9"/>
    <w:rsid w:val="42C606D7"/>
    <w:rsid w:val="45B76ED1"/>
    <w:rsid w:val="46DE3A73"/>
    <w:rsid w:val="47D16F1E"/>
    <w:rsid w:val="4A243A3A"/>
    <w:rsid w:val="4B283CB3"/>
    <w:rsid w:val="4B3B364B"/>
    <w:rsid w:val="4DC44C88"/>
    <w:rsid w:val="51F83D4F"/>
    <w:rsid w:val="532140E3"/>
    <w:rsid w:val="53D212E3"/>
    <w:rsid w:val="56BE1561"/>
    <w:rsid w:val="57973706"/>
    <w:rsid w:val="584C1AA6"/>
    <w:rsid w:val="58AB6327"/>
    <w:rsid w:val="59317E07"/>
    <w:rsid w:val="5A130D80"/>
    <w:rsid w:val="5B8158B2"/>
    <w:rsid w:val="5BC04B92"/>
    <w:rsid w:val="5BFA1A96"/>
    <w:rsid w:val="5DD46BA0"/>
    <w:rsid w:val="5E7518AE"/>
    <w:rsid w:val="613E1A7D"/>
    <w:rsid w:val="614D25F4"/>
    <w:rsid w:val="661332F5"/>
    <w:rsid w:val="67AB38C7"/>
    <w:rsid w:val="680464CF"/>
    <w:rsid w:val="692A60F3"/>
    <w:rsid w:val="6A2063E2"/>
    <w:rsid w:val="6BC35415"/>
    <w:rsid w:val="6BCB47BD"/>
    <w:rsid w:val="6CBA22CB"/>
    <w:rsid w:val="6EBC3EA9"/>
    <w:rsid w:val="702B3B69"/>
    <w:rsid w:val="735E2705"/>
    <w:rsid w:val="74EB116F"/>
    <w:rsid w:val="76C5148F"/>
    <w:rsid w:val="771E40E4"/>
    <w:rsid w:val="77C333F3"/>
    <w:rsid w:val="78DF52DF"/>
    <w:rsid w:val="79852DEC"/>
    <w:rsid w:val="79A53867"/>
    <w:rsid w:val="7A925316"/>
    <w:rsid w:val="7B373DA6"/>
    <w:rsid w:val="7C0463C1"/>
    <w:rsid w:val="7CD46D84"/>
    <w:rsid w:val="7CEC105D"/>
    <w:rsid w:val="7D9B26BE"/>
    <w:rsid w:val="7E51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1438</Characters>
  <Lines>11</Lines>
  <Paragraphs>3</Paragraphs>
  <TotalTime>2</TotalTime>
  <ScaleCrop>false</ScaleCrop>
  <LinksUpToDate>false</LinksUpToDate>
  <CharactersWithSpaces>1687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Sue</cp:lastModifiedBy>
  <cp:lastPrinted>2019-03-06T00:09:00Z</cp:lastPrinted>
  <dcterms:modified xsi:type="dcterms:W3CDTF">2019-05-14T09:01:07Z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